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22DB" w14:textId="76C6A51C" w:rsidR="00845843" w:rsidRPr="00F72CCE" w:rsidRDefault="00F72CCE" w:rsidP="00F72CCE">
      <w:pPr>
        <w:jc w:val="right"/>
        <w:rPr>
          <w:rFonts w:ascii="Arial" w:hAnsi="Arial" w:cs="Arial"/>
          <w:b/>
          <w:bCs/>
          <w:sz w:val="24"/>
          <w:szCs w:val="24"/>
        </w:rPr>
      </w:pPr>
      <w:r w:rsidRPr="00F72CCE">
        <w:rPr>
          <w:rFonts w:ascii="Arial" w:hAnsi="Arial" w:cs="Arial"/>
          <w:b/>
          <w:bCs/>
          <w:sz w:val="24"/>
          <w:szCs w:val="24"/>
        </w:rPr>
        <w:t xml:space="preserve">Annexure </w:t>
      </w:r>
      <w:r w:rsidR="00F81B26">
        <w:rPr>
          <w:rFonts w:ascii="Arial" w:hAnsi="Arial" w:cs="Arial"/>
          <w:b/>
          <w:bCs/>
          <w:sz w:val="24"/>
          <w:szCs w:val="24"/>
        </w:rPr>
        <w:t>R</w:t>
      </w:r>
      <w:r w:rsidRPr="00F72CCE">
        <w:rPr>
          <w:rFonts w:ascii="Arial" w:hAnsi="Arial" w:cs="Arial"/>
          <w:b/>
          <w:bCs/>
          <w:sz w:val="24"/>
          <w:szCs w:val="24"/>
        </w:rPr>
        <w:t>2</w:t>
      </w:r>
    </w:p>
    <w:p w14:paraId="2E8C2A18" w14:textId="27ED7A71" w:rsidR="00C96EA6" w:rsidRPr="00C96EA6" w:rsidRDefault="00F5001F" w:rsidP="00C96EA6">
      <w:pPr>
        <w:spacing w:after="0" w:line="240" w:lineRule="auto"/>
        <w:jc w:val="both"/>
        <w:rPr>
          <w:rFonts w:ascii="Arial" w:hAnsi="Arial" w:cs="Arial"/>
          <w:b/>
          <w:bCs/>
          <w:sz w:val="24"/>
          <w:szCs w:val="24"/>
        </w:rPr>
      </w:pPr>
      <w:r>
        <w:rPr>
          <w:rFonts w:ascii="Arial" w:hAnsi="Arial" w:cs="Arial"/>
          <w:b/>
          <w:bCs/>
          <w:sz w:val="24"/>
          <w:szCs w:val="24"/>
        </w:rPr>
        <w:t>I</w:t>
      </w:r>
      <w:r w:rsidR="00C96EA6" w:rsidRPr="00C96EA6">
        <w:rPr>
          <w:rFonts w:ascii="Arial" w:hAnsi="Arial" w:cs="Arial"/>
          <w:b/>
          <w:bCs/>
          <w:sz w:val="24"/>
          <w:szCs w:val="24"/>
        </w:rPr>
        <w:t xml:space="preserve">nstructions relating to the completion of the return concerning currency risk are furnished with reference to the headings, item descriptions and </w:t>
      </w:r>
      <w:proofErr w:type="gramStart"/>
      <w:r w:rsidR="00C96EA6" w:rsidRPr="00C96EA6">
        <w:rPr>
          <w:rFonts w:ascii="Arial" w:hAnsi="Arial" w:cs="Arial"/>
          <w:b/>
          <w:bCs/>
          <w:sz w:val="24"/>
          <w:szCs w:val="24"/>
        </w:rPr>
        <w:t>line item</w:t>
      </w:r>
      <w:proofErr w:type="gramEnd"/>
      <w:r w:rsidR="00C96EA6" w:rsidRPr="00C96EA6">
        <w:rPr>
          <w:rFonts w:ascii="Arial" w:hAnsi="Arial" w:cs="Arial"/>
          <w:b/>
          <w:bCs/>
          <w:sz w:val="24"/>
          <w:szCs w:val="24"/>
        </w:rPr>
        <w:t xml:space="preserve"> numbers appearing on form DI 600, as follows:</w:t>
      </w:r>
    </w:p>
    <w:p w14:paraId="52379875" w14:textId="5C97E125" w:rsidR="00C96EA6" w:rsidRPr="00C96EA6" w:rsidRDefault="00C96EA6" w:rsidP="00C96EA6">
      <w:pPr>
        <w:spacing w:after="0" w:line="240" w:lineRule="auto"/>
        <w:jc w:val="both"/>
        <w:rPr>
          <w:rFonts w:ascii="Arial" w:hAnsi="Arial" w:cs="Arial"/>
          <w:b/>
          <w:bCs/>
          <w:i/>
          <w:iCs/>
          <w:sz w:val="24"/>
          <w:szCs w:val="24"/>
        </w:rPr>
      </w:pPr>
    </w:p>
    <w:p w14:paraId="39E0B41E" w14:textId="77777777" w:rsidR="00C96EA6" w:rsidRPr="00C96EA6" w:rsidRDefault="00C96EA6" w:rsidP="00C96EA6">
      <w:pPr>
        <w:spacing w:after="0" w:line="240" w:lineRule="auto"/>
        <w:jc w:val="both"/>
        <w:rPr>
          <w:rFonts w:ascii="Arial" w:hAnsi="Arial" w:cs="Arial"/>
          <w:i/>
          <w:iCs/>
          <w:sz w:val="24"/>
          <w:szCs w:val="24"/>
        </w:rPr>
      </w:pPr>
      <w:r w:rsidRPr="00C96EA6">
        <w:rPr>
          <w:rFonts w:ascii="Arial" w:hAnsi="Arial" w:cs="Arial"/>
          <w:i/>
          <w:iCs/>
          <w:sz w:val="24"/>
          <w:szCs w:val="24"/>
        </w:rPr>
        <w:t xml:space="preserve">DI 600 </w:t>
      </w:r>
      <w:proofErr w:type="gramStart"/>
      <w:r w:rsidRPr="00C96EA6">
        <w:rPr>
          <w:rFonts w:ascii="Arial" w:hAnsi="Arial" w:cs="Arial"/>
          <w:i/>
          <w:iCs/>
          <w:sz w:val="24"/>
          <w:szCs w:val="24"/>
        </w:rPr>
        <w:t>Line item</w:t>
      </w:r>
      <w:proofErr w:type="gramEnd"/>
      <w:r w:rsidRPr="00C96EA6">
        <w:rPr>
          <w:rFonts w:ascii="Arial" w:hAnsi="Arial" w:cs="Arial"/>
          <w:i/>
          <w:iCs/>
          <w:sz w:val="24"/>
          <w:szCs w:val="24"/>
        </w:rPr>
        <w:t xml:space="preserve"> number</w:t>
      </w:r>
    </w:p>
    <w:p w14:paraId="7C6AC726" w14:textId="49A530E4" w:rsidR="00C96EA6" w:rsidRPr="00C96EA6" w:rsidRDefault="00C96EA6" w:rsidP="00C96EA6">
      <w:pPr>
        <w:spacing w:after="0" w:line="240" w:lineRule="auto"/>
        <w:jc w:val="both"/>
        <w:rPr>
          <w:rFonts w:ascii="Arial" w:hAnsi="Arial" w:cs="Arial"/>
          <w:i/>
          <w:iCs/>
          <w:sz w:val="24"/>
          <w:szCs w:val="24"/>
        </w:rPr>
      </w:pPr>
    </w:p>
    <w:p w14:paraId="2766FE5C" w14:textId="77777777" w:rsidR="00C96EA6" w:rsidRPr="002B5EF3" w:rsidRDefault="00C96EA6" w:rsidP="00C96EA6">
      <w:pPr>
        <w:spacing w:after="0" w:line="240" w:lineRule="auto"/>
        <w:jc w:val="both"/>
        <w:rPr>
          <w:rFonts w:ascii="Arial" w:hAnsi="Arial" w:cs="Arial"/>
          <w:b/>
          <w:bCs/>
          <w:sz w:val="24"/>
          <w:szCs w:val="24"/>
        </w:rPr>
      </w:pPr>
      <w:r w:rsidRPr="002B5EF3">
        <w:rPr>
          <w:rFonts w:ascii="Arial" w:hAnsi="Arial" w:cs="Arial"/>
          <w:b/>
          <w:bCs/>
          <w:sz w:val="24"/>
          <w:szCs w:val="24"/>
        </w:rPr>
        <w:t>FOREIGN CURRENCY EXPOSURES</w:t>
      </w:r>
    </w:p>
    <w:p w14:paraId="3538C525" w14:textId="61517C9C" w:rsidR="00C96EA6" w:rsidRPr="00C96EA6" w:rsidRDefault="00C96EA6" w:rsidP="00C96EA6">
      <w:pPr>
        <w:spacing w:after="0" w:line="240" w:lineRule="auto"/>
        <w:jc w:val="both"/>
        <w:rPr>
          <w:rFonts w:ascii="Arial" w:hAnsi="Arial" w:cs="Arial"/>
          <w:sz w:val="24"/>
          <w:szCs w:val="24"/>
        </w:rPr>
      </w:pPr>
    </w:p>
    <w:p w14:paraId="5DEFFF58" w14:textId="4C35BEC3" w:rsidR="00C96EA6" w:rsidRPr="00C96EA6" w:rsidRDefault="00C96EA6" w:rsidP="00C96EA6">
      <w:pPr>
        <w:spacing w:after="0" w:line="240" w:lineRule="auto"/>
        <w:ind w:left="720" w:hanging="720"/>
        <w:jc w:val="both"/>
        <w:rPr>
          <w:rFonts w:ascii="Arial" w:hAnsi="Arial" w:cs="Arial"/>
          <w:sz w:val="24"/>
          <w:szCs w:val="24"/>
        </w:rPr>
      </w:pPr>
      <w:r w:rsidRPr="00C96EA6">
        <w:rPr>
          <w:rFonts w:ascii="Arial" w:hAnsi="Arial" w:cs="Arial"/>
          <w:sz w:val="24"/>
          <w:szCs w:val="24"/>
        </w:rPr>
        <w:t>5.</w:t>
      </w:r>
      <w:r>
        <w:rPr>
          <w:rFonts w:ascii="Arial" w:hAnsi="Arial" w:cs="Arial"/>
          <w:sz w:val="24"/>
          <w:szCs w:val="24"/>
        </w:rPr>
        <w:tab/>
      </w:r>
      <w:r w:rsidRPr="00C96EA6">
        <w:rPr>
          <w:rFonts w:ascii="Arial" w:hAnsi="Arial" w:cs="Arial"/>
          <w:sz w:val="24"/>
          <w:szCs w:val="24"/>
        </w:rPr>
        <w:t>Net long/</w:t>
      </w:r>
      <w:proofErr w:type="gramStart"/>
      <w:r w:rsidRPr="00C96EA6">
        <w:rPr>
          <w:rFonts w:ascii="Arial" w:hAnsi="Arial" w:cs="Arial"/>
          <w:sz w:val="24"/>
          <w:szCs w:val="24"/>
        </w:rPr>
        <w:t>short(</w:t>
      </w:r>
      <w:proofErr w:type="gramEnd"/>
      <w:r w:rsidRPr="00C96EA6">
        <w:rPr>
          <w:rFonts w:ascii="Arial" w:hAnsi="Arial" w:cs="Arial"/>
          <w:sz w:val="24"/>
          <w:szCs w:val="24"/>
        </w:rPr>
        <w:t>-) position in options and futures contracts in foreign currency and gold</w:t>
      </w:r>
    </w:p>
    <w:p w14:paraId="5B23CA2E" w14:textId="44E42125" w:rsidR="00C96EA6" w:rsidRPr="00C96EA6" w:rsidRDefault="00C96EA6" w:rsidP="00C96EA6">
      <w:pPr>
        <w:spacing w:after="0" w:line="240" w:lineRule="auto"/>
        <w:jc w:val="both"/>
        <w:rPr>
          <w:rFonts w:ascii="Arial" w:hAnsi="Arial" w:cs="Arial"/>
          <w:sz w:val="24"/>
          <w:szCs w:val="24"/>
        </w:rPr>
      </w:pPr>
    </w:p>
    <w:p w14:paraId="0710202E" w14:textId="77777777" w:rsidR="00C96EA6" w:rsidRPr="00C96EA6" w:rsidRDefault="00C96EA6" w:rsidP="00C96EA6">
      <w:pPr>
        <w:spacing w:after="0" w:line="240" w:lineRule="auto"/>
        <w:ind w:firstLine="720"/>
        <w:jc w:val="both"/>
        <w:rPr>
          <w:rFonts w:ascii="Arial" w:hAnsi="Arial" w:cs="Arial"/>
          <w:sz w:val="24"/>
          <w:szCs w:val="24"/>
        </w:rPr>
      </w:pPr>
      <w:r w:rsidRPr="00C96EA6">
        <w:rPr>
          <w:rFonts w:ascii="Arial" w:hAnsi="Arial" w:cs="Arial"/>
          <w:sz w:val="24"/>
          <w:szCs w:val="24"/>
        </w:rPr>
        <w:t>This item shall be calculated as follows:</w:t>
      </w:r>
    </w:p>
    <w:p w14:paraId="10AF338B" w14:textId="7ED86E44" w:rsidR="00C96EA6" w:rsidRPr="00C96EA6" w:rsidRDefault="00C96EA6" w:rsidP="00C96EA6">
      <w:pPr>
        <w:spacing w:after="0" w:line="240" w:lineRule="auto"/>
        <w:jc w:val="both"/>
        <w:rPr>
          <w:rFonts w:ascii="Arial" w:hAnsi="Arial" w:cs="Arial"/>
          <w:sz w:val="24"/>
          <w:szCs w:val="24"/>
        </w:rPr>
      </w:pPr>
    </w:p>
    <w:p w14:paraId="2C592321" w14:textId="77777777" w:rsidR="00C96EA6" w:rsidRPr="00C96EA6" w:rsidRDefault="00C96EA6" w:rsidP="00C96EA6">
      <w:pPr>
        <w:spacing w:after="0" w:line="240" w:lineRule="auto"/>
        <w:ind w:left="720"/>
        <w:jc w:val="both"/>
        <w:rPr>
          <w:rFonts w:ascii="Arial" w:hAnsi="Arial" w:cs="Arial"/>
          <w:sz w:val="24"/>
          <w:szCs w:val="24"/>
        </w:rPr>
      </w:pPr>
      <w:r w:rsidRPr="00C96EA6">
        <w:rPr>
          <w:rFonts w:ascii="Arial" w:hAnsi="Arial" w:cs="Arial"/>
          <w:sz w:val="24"/>
          <w:szCs w:val="24"/>
        </w:rPr>
        <w:t>The sum of the gross value of potential purchases of foreign currency and gold in terms of put options granted, call options held and futures contracts, minus the sum of the gross value of potential sales of foreign currency and gold in terms of put options held, call options granted and futures contracts.</w:t>
      </w:r>
    </w:p>
    <w:p w14:paraId="72A57556" w14:textId="500B2123" w:rsidR="00C96EA6" w:rsidRPr="00C96EA6" w:rsidRDefault="00C96EA6" w:rsidP="00C96EA6">
      <w:pPr>
        <w:spacing w:after="0" w:line="240" w:lineRule="auto"/>
        <w:jc w:val="both"/>
        <w:rPr>
          <w:rFonts w:ascii="Arial" w:hAnsi="Arial" w:cs="Arial"/>
          <w:sz w:val="24"/>
          <w:szCs w:val="24"/>
        </w:rPr>
      </w:pPr>
    </w:p>
    <w:p w14:paraId="509367F7" w14:textId="5A4E73AA" w:rsidR="00C96EA6" w:rsidRPr="00C96EA6" w:rsidRDefault="00C96EA6" w:rsidP="00C96EA6">
      <w:pPr>
        <w:spacing w:after="0" w:line="240" w:lineRule="auto"/>
        <w:ind w:left="720" w:hanging="720"/>
        <w:jc w:val="both"/>
        <w:rPr>
          <w:rFonts w:ascii="Arial" w:hAnsi="Arial" w:cs="Arial"/>
          <w:sz w:val="24"/>
          <w:szCs w:val="24"/>
        </w:rPr>
      </w:pPr>
      <w:r w:rsidRPr="00C96EA6">
        <w:rPr>
          <w:rFonts w:ascii="Arial" w:hAnsi="Arial" w:cs="Arial"/>
          <w:sz w:val="24"/>
          <w:szCs w:val="24"/>
        </w:rPr>
        <w:t>9.</w:t>
      </w:r>
      <w:r>
        <w:rPr>
          <w:rFonts w:ascii="Arial" w:hAnsi="Arial" w:cs="Arial"/>
          <w:sz w:val="24"/>
          <w:szCs w:val="24"/>
        </w:rPr>
        <w:tab/>
      </w:r>
      <w:r w:rsidRPr="00C96EA6">
        <w:rPr>
          <w:rFonts w:ascii="Arial" w:hAnsi="Arial" w:cs="Arial"/>
          <w:sz w:val="24"/>
          <w:szCs w:val="24"/>
        </w:rPr>
        <w:t xml:space="preserve">An amount equal to 10 percent of the net qualifying capital and reserves, as shown in </w:t>
      </w:r>
      <w:proofErr w:type="gramStart"/>
      <w:r w:rsidRPr="00C96EA6">
        <w:rPr>
          <w:rFonts w:ascii="Arial" w:hAnsi="Arial" w:cs="Arial"/>
          <w:sz w:val="24"/>
          <w:szCs w:val="24"/>
        </w:rPr>
        <w:t>line item</w:t>
      </w:r>
      <w:proofErr w:type="gramEnd"/>
      <w:r w:rsidRPr="00C96EA6">
        <w:rPr>
          <w:rFonts w:ascii="Arial" w:hAnsi="Arial" w:cs="Arial"/>
          <w:sz w:val="24"/>
          <w:szCs w:val="24"/>
        </w:rPr>
        <w:t xml:space="preserve"> number 31 on form DI 100 as at the latest date for which the relevant statement was submitted, converted to US$, shall be reflected under this item.</w:t>
      </w:r>
    </w:p>
    <w:p w14:paraId="42085528" w14:textId="0EB837BF" w:rsidR="00C96EA6" w:rsidRPr="00C96EA6" w:rsidRDefault="00C96EA6" w:rsidP="00C96EA6">
      <w:pPr>
        <w:spacing w:after="0" w:line="240" w:lineRule="auto"/>
        <w:jc w:val="both"/>
        <w:rPr>
          <w:rFonts w:ascii="Arial" w:hAnsi="Arial" w:cs="Arial"/>
          <w:sz w:val="24"/>
          <w:szCs w:val="24"/>
        </w:rPr>
      </w:pPr>
    </w:p>
    <w:p w14:paraId="54B7C4FC" w14:textId="21B69B42" w:rsidR="00C96EA6" w:rsidRPr="00C96EA6" w:rsidRDefault="00C96EA6" w:rsidP="00C96EA6">
      <w:pPr>
        <w:spacing w:after="0" w:line="240" w:lineRule="auto"/>
        <w:ind w:left="720" w:hanging="720"/>
        <w:jc w:val="both"/>
        <w:rPr>
          <w:rFonts w:ascii="Arial" w:hAnsi="Arial" w:cs="Arial"/>
          <w:sz w:val="24"/>
          <w:szCs w:val="24"/>
        </w:rPr>
      </w:pPr>
      <w:r w:rsidRPr="00C96EA6">
        <w:rPr>
          <w:rFonts w:ascii="Arial" w:hAnsi="Arial" w:cs="Arial"/>
          <w:sz w:val="24"/>
          <w:szCs w:val="24"/>
        </w:rPr>
        <w:t>10.</w:t>
      </w:r>
      <w:r>
        <w:rPr>
          <w:rFonts w:ascii="Arial" w:hAnsi="Arial" w:cs="Arial"/>
          <w:sz w:val="24"/>
          <w:szCs w:val="24"/>
        </w:rPr>
        <w:tab/>
      </w:r>
      <w:r w:rsidRPr="00C96EA6">
        <w:rPr>
          <w:rFonts w:ascii="Arial" w:hAnsi="Arial" w:cs="Arial"/>
          <w:sz w:val="24"/>
          <w:szCs w:val="24"/>
        </w:rPr>
        <w:t>Maximum effective net open foreign currency position(s), per each currency and in total, during month</w:t>
      </w:r>
    </w:p>
    <w:p w14:paraId="290CCF24" w14:textId="756EED45" w:rsidR="00C96EA6" w:rsidRPr="00C96EA6" w:rsidRDefault="00C96EA6" w:rsidP="00C96EA6">
      <w:pPr>
        <w:spacing w:after="0" w:line="240" w:lineRule="auto"/>
        <w:jc w:val="both"/>
        <w:rPr>
          <w:rFonts w:ascii="Arial" w:hAnsi="Arial" w:cs="Arial"/>
          <w:sz w:val="24"/>
          <w:szCs w:val="24"/>
        </w:rPr>
      </w:pPr>
    </w:p>
    <w:p w14:paraId="6B735884" w14:textId="77777777" w:rsidR="00C96EA6" w:rsidRPr="00C96EA6" w:rsidRDefault="00C96EA6" w:rsidP="00C96EA6">
      <w:pPr>
        <w:spacing w:after="0" w:line="240" w:lineRule="auto"/>
        <w:ind w:left="720"/>
        <w:jc w:val="both"/>
        <w:rPr>
          <w:rFonts w:ascii="Arial" w:hAnsi="Arial" w:cs="Arial"/>
          <w:sz w:val="24"/>
          <w:szCs w:val="24"/>
        </w:rPr>
      </w:pPr>
      <w:r w:rsidRPr="00C96EA6">
        <w:rPr>
          <w:rFonts w:ascii="Arial" w:hAnsi="Arial" w:cs="Arial"/>
          <w:sz w:val="24"/>
          <w:szCs w:val="24"/>
        </w:rPr>
        <w:t>The maximum effective net open foreign currency position(s), per each currency, and in total, as at the close of business on a particular day; recorded during the month, inclusive of foreign branches and subsidiaries, shall be reflected under this item. (It follows from the foregoing instructions that a summation of columns 1 to 7 will not equal column 8.)</w:t>
      </w:r>
    </w:p>
    <w:p w14:paraId="4317A1E2" w14:textId="3B91560B" w:rsidR="00C96EA6" w:rsidRPr="00C96EA6" w:rsidRDefault="00C96EA6" w:rsidP="00C96EA6">
      <w:pPr>
        <w:spacing w:after="0" w:line="240" w:lineRule="auto"/>
        <w:jc w:val="both"/>
        <w:rPr>
          <w:rFonts w:ascii="Arial" w:hAnsi="Arial" w:cs="Arial"/>
          <w:sz w:val="24"/>
          <w:szCs w:val="24"/>
        </w:rPr>
      </w:pPr>
    </w:p>
    <w:p w14:paraId="7CAA4486" w14:textId="77777777" w:rsidR="00C96EA6" w:rsidRPr="00C96EA6" w:rsidRDefault="00C96EA6" w:rsidP="00C96EA6">
      <w:pPr>
        <w:spacing w:after="0" w:line="240" w:lineRule="auto"/>
        <w:ind w:left="720"/>
        <w:jc w:val="both"/>
        <w:rPr>
          <w:rFonts w:ascii="Arial" w:hAnsi="Arial" w:cs="Arial"/>
          <w:sz w:val="24"/>
          <w:szCs w:val="24"/>
        </w:rPr>
      </w:pPr>
      <w:r w:rsidRPr="00C96EA6">
        <w:rPr>
          <w:rFonts w:ascii="Arial" w:hAnsi="Arial" w:cs="Arial"/>
          <w:sz w:val="24"/>
          <w:szCs w:val="24"/>
        </w:rPr>
        <w:t>MATURITY LADDER OF ASSETS, LIABILITIES AND COMMITMENTS IN RESPECT OF FORWARD CONTRACTS DENOMINATED IN US$; and</w:t>
      </w:r>
    </w:p>
    <w:p w14:paraId="2B13B853" w14:textId="519EC614" w:rsidR="00C96EA6" w:rsidRPr="00C96EA6" w:rsidRDefault="00C96EA6" w:rsidP="00C96EA6">
      <w:pPr>
        <w:spacing w:after="0" w:line="240" w:lineRule="auto"/>
        <w:jc w:val="both"/>
        <w:rPr>
          <w:rFonts w:ascii="Arial" w:hAnsi="Arial" w:cs="Arial"/>
          <w:sz w:val="24"/>
          <w:szCs w:val="24"/>
        </w:rPr>
      </w:pPr>
    </w:p>
    <w:p w14:paraId="2E931481" w14:textId="77777777" w:rsidR="00C96EA6" w:rsidRPr="00C96EA6" w:rsidRDefault="00C96EA6" w:rsidP="00C96EA6">
      <w:pPr>
        <w:spacing w:after="0" w:line="240" w:lineRule="auto"/>
        <w:ind w:left="720"/>
        <w:jc w:val="both"/>
        <w:rPr>
          <w:rFonts w:ascii="Arial" w:hAnsi="Arial" w:cs="Arial"/>
          <w:sz w:val="24"/>
          <w:szCs w:val="24"/>
        </w:rPr>
      </w:pPr>
      <w:r w:rsidRPr="00C96EA6">
        <w:rPr>
          <w:rFonts w:ascii="Arial" w:hAnsi="Arial" w:cs="Arial"/>
          <w:sz w:val="24"/>
          <w:szCs w:val="24"/>
        </w:rPr>
        <w:t>MATURITY LADDER OF ASSETS, LIABILITIES AND COMMITMENTS IN RESPECT OF FORWARD CONTRACTS DENOMINATED IN CURRENCIES OTHER THAN US$.</w:t>
      </w:r>
    </w:p>
    <w:p w14:paraId="5B867639" w14:textId="5321BE30" w:rsidR="00C96EA6" w:rsidRPr="00C96EA6" w:rsidRDefault="00C96EA6" w:rsidP="00C96EA6">
      <w:pPr>
        <w:spacing w:after="0" w:line="240" w:lineRule="auto"/>
        <w:jc w:val="both"/>
        <w:rPr>
          <w:rFonts w:ascii="Arial" w:hAnsi="Arial" w:cs="Arial"/>
          <w:sz w:val="24"/>
          <w:szCs w:val="24"/>
        </w:rPr>
      </w:pPr>
    </w:p>
    <w:p w14:paraId="50724EFC" w14:textId="58E82812" w:rsidR="00C96EA6" w:rsidRPr="00C96EA6" w:rsidRDefault="00C96EA6" w:rsidP="00A210DB">
      <w:pPr>
        <w:spacing w:after="0" w:line="240" w:lineRule="auto"/>
        <w:ind w:left="1440" w:hanging="1440"/>
        <w:jc w:val="both"/>
        <w:rPr>
          <w:rFonts w:ascii="Arial" w:hAnsi="Arial" w:cs="Arial"/>
          <w:sz w:val="24"/>
          <w:szCs w:val="24"/>
        </w:rPr>
      </w:pPr>
      <w:r w:rsidRPr="00C96EA6">
        <w:rPr>
          <w:rFonts w:ascii="Arial" w:hAnsi="Arial" w:cs="Arial"/>
          <w:sz w:val="24"/>
          <w:szCs w:val="24"/>
        </w:rPr>
        <w:t>13 to 24.</w:t>
      </w:r>
      <w:r w:rsidR="00A210DB">
        <w:rPr>
          <w:rFonts w:ascii="Arial" w:hAnsi="Arial" w:cs="Arial"/>
          <w:sz w:val="24"/>
          <w:szCs w:val="24"/>
        </w:rPr>
        <w:tab/>
      </w:r>
      <w:r w:rsidRPr="00C96EA6">
        <w:rPr>
          <w:rFonts w:ascii="Arial" w:hAnsi="Arial" w:cs="Arial"/>
          <w:sz w:val="24"/>
          <w:szCs w:val="24"/>
        </w:rPr>
        <w:t>The information used to determine the effective net open position shall be classified in accordance with the different maturities indicated on form DI 600 and be applied, as indicated in the form, to determine the maturity mismatches in respect of US dollars and other foreign currencies, separately.</w:t>
      </w:r>
    </w:p>
    <w:p w14:paraId="4C4CF110" w14:textId="5D56108E" w:rsidR="00C96EA6" w:rsidRPr="00C96EA6" w:rsidRDefault="00C96EA6" w:rsidP="00C96EA6">
      <w:pPr>
        <w:spacing w:after="0" w:line="240" w:lineRule="auto"/>
        <w:jc w:val="both"/>
        <w:rPr>
          <w:rFonts w:ascii="Arial" w:hAnsi="Arial" w:cs="Arial"/>
          <w:sz w:val="24"/>
          <w:szCs w:val="24"/>
        </w:rPr>
      </w:pPr>
    </w:p>
    <w:p w14:paraId="3EC8D2A5" w14:textId="77777777" w:rsidR="00C96EA6" w:rsidRPr="00C96EA6" w:rsidRDefault="00C96EA6" w:rsidP="00C96EA6">
      <w:pPr>
        <w:spacing w:after="0" w:line="240" w:lineRule="auto"/>
        <w:jc w:val="both"/>
        <w:rPr>
          <w:rFonts w:ascii="Arial" w:hAnsi="Arial" w:cs="Arial"/>
          <w:sz w:val="24"/>
          <w:szCs w:val="24"/>
        </w:rPr>
      </w:pPr>
      <w:r w:rsidRPr="00C96EA6">
        <w:rPr>
          <w:rFonts w:ascii="Arial" w:hAnsi="Arial" w:cs="Arial"/>
          <w:sz w:val="24"/>
          <w:szCs w:val="24"/>
        </w:rPr>
        <w:t>The same formula as used in item 5, for the calculation of items 17 and 23 shall be applied.</w:t>
      </w:r>
    </w:p>
    <w:p w14:paraId="4C010A7B" w14:textId="3775387A" w:rsidR="00DF43EC" w:rsidRPr="00DF43EC" w:rsidRDefault="00DF43EC" w:rsidP="00C96EA6">
      <w:pPr>
        <w:spacing w:after="0" w:line="240" w:lineRule="auto"/>
        <w:jc w:val="both"/>
        <w:rPr>
          <w:rFonts w:ascii="Arial" w:hAnsi="Arial" w:cs="Arial"/>
          <w:sz w:val="24"/>
          <w:szCs w:val="24"/>
        </w:rPr>
      </w:pPr>
    </w:p>
    <w:sectPr w:rsidR="00DF43EC" w:rsidRPr="00DF43EC">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23C2" w14:textId="77777777" w:rsidR="00E0666D" w:rsidRDefault="00E0666D" w:rsidP="00F72CCE">
      <w:pPr>
        <w:spacing w:after="0" w:line="240" w:lineRule="auto"/>
      </w:pPr>
      <w:r>
        <w:separator/>
      </w:r>
    </w:p>
  </w:endnote>
  <w:endnote w:type="continuationSeparator" w:id="0">
    <w:p w14:paraId="345809D8" w14:textId="77777777" w:rsidR="00E0666D" w:rsidRDefault="00E0666D" w:rsidP="00F7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611956"/>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45425B8" w14:textId="6A5CE771" w:rsidR="00F72CCE" w:rsidRPr="00F72CCE" w:rsidRDefault="00F72CCE">
            <w:pPr>
              <w:pStyle w:val="Footer"/>
              <w:jc w:val="right"/>
              <w:rPr>
                <w:rFonts w:ascii="Arial" w:hAnsi="Arial" w:cs="Arial"/>
              </w:rPr>
            </w:pPr>
            <w:r w:rsidRPr="00F72CCE">
              <w:rPr>
                <w:rFonts w:ascii="Arial" w:hAnsi="Arial" w:cs="Arial"/>
              </w:rPr>
              <w:t xml:space="preserve">Page </w:t>
            </w:r>
            <w:r w:rsidRPr="00F72CCE">
              <w:rPr>
                <w:rFonts w:ascii="Arial" w:hAnsi="Arial" w:cs="Arial"/>
                <w:b/>
                <w:bCs/>
                <w:sz w:val="24"/>
                <w:szCs w:val="24"/>
              </w:rPr>
              <w:fldChar w:fldCharType="begin"/>
            </w:r>
            <w:r w:rsidRPr="00F72CCE">
              <w:rPr>
                <w:rFonts w:ascii="Arial" w:hAnsi="Arial" w:cs="Arial"/>
                <w:b/>
                <w:bCs/>
              </w:rPr>
              <w:instrText xml:space="preserve"> PAGE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r w:rsidRPr="00F72CCE">
              <w:rPr>
                <w:rFonts w:ascii="Arial" w:hAnsi="Arial" w:cs="Arial"/>
              </w:rPr>
              <w:t xml:space="preserve"> of </w:t>
            </w:r>
            <w:r w:rsidRPr="00F72CCE">
              <w:rPr>
                <w:rFonts w:ascii="Arial" w:hAnsi="Arial" w:cs="Arial"/>
                <w:b/>
                <w:bCs/>
                <w:sz w:val="24"/>
                <w:szCs w:val="24"/>
              </w:rPr>
              <w:fldChar w:fldCharType="begin"/>
            </w:r>
            <w:r w:rsidRPr="00F72CCE">
              <w:rPr>
                <w:rFonts w:ascii="Arial" w:hAnsi="Arial" w:cs="Arial"/>
                <w:b/>
                <w:bCs/>
              </w:rPr>
              <w:instrText xml:space="preserve"> NUMPAGES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p>
        </w:sdtContent>
      </w:sdt>
    </w:sdtContent>
  </w:sdt>
  <w:p w14:paraId="5F796835" w14:textId="77777777" w:rsidR="00F72CCE" w:rsidRDefault="00F72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3A94" w14:textId="77777777" w:rsidR="00E0666D" w:rsidRDefault="00E0666D" w:rsidP="00F72CCE">
      <w:pPr>
        <w:spacing w:after="0" w:line="240" w:lineRule="auto"/>
      </w:pPr>
      <w:r>
        <w:separator/>
      </w:r>
    </w:p>
  </w:footnote>
  <w:footnote w:type="continuationSeparator" w:id="0">
    <w:p w14:paraId="0B87A9B9" w14:textId="77777777" w:rsidR="00E0666D" w:rsidRDefault="00E0666D" w:rsidP="00F7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D120D"/>
    <w:multiLevelType w:val="hybridMultilevel"/>
    <w:tmpl w:val="4CCA4F96"/>
    <w:lvl w:ilvl="0" w:tplc="58B0C5B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57C01EC0"/>
    <w:multiLevelType w:val="hybridMultilevel"/>
    <w:tmpl w:val="208C0D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EA80E3C"/>
    <w:multiLevelType w:val="hybridMultilevel"/>
    <w:tmpl w:val="4E46319C"/>
    <w:lvl w:ilvl="0" w:tplc="E60C018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7811A40"/>
    <w:multiLevelType w:val="hybridMultilevel"/>
    <w:tmpl w:val="20965D5A"/>
    <w:lvl w:ilvl="0" w:tplc="8988AB24">
      <w:start w:val="5"/>
      <w:numFmt w:val="bullet"/>
      <w:lvlText w:val="-"/>
      <w:lvlJc w:val="left"/>
      <w:pPr>
        <w:ind w:left="1080" w:hanging="360"/>
      </w:pPr>
      <w:rPr>
        <w:rFonts w:ascii="Arial" w:eastAsiaTheme="minorHAnsi"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7AE8582D"/>
    <w:multiLevelType w:val="hybridMultilevel"/>
    <w:tmpl w:val="4CF833C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204730">
    <w:abstractNumId w:val="1"/>
  </w:num>
  <w:num w:numId="2" w16cid:durableId="625546607">
    <w:abstractNumId w:val="2"/>
  </w:num>
  <w:num w:numId="3" w16cid:durableId="539174378">
    <w:abstractNumId w:val="0"/>
  </w:num>
  <w:num w:numId="4" w16cid:durableId="1952860532">
    <w:abstractNumId w:val="4"/>
  </w:num>
  <w:num w:numId="5" w16cid:durableId="13033429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E"/>
    <w:rsid w:val="00034499"/>
    <w:rsid w:val="000E5B33"/>
    <w:rsid w:val="000F6244"/>
    <w:rsid w:val="001E2BDE"/>
    <w:rsid w:val="002B5EF3"/>
    <w:rsid w:val="002D4C86"/>
    <w:rsid w:val="00306D22"/>
    <w:rsid w:val="00310CA1"/>
    <w:rsid w:val="004716AA"/>
    <w:rsid w:val="005265A0"/>
    <w:rsid w:val="005B2380"/>
    <w:rsid w:val="005B3972"/>
    <w:rsid w:val="00690243"/>
    <w:rsid w:val="006C4FF9"/>
    <w:rsid w:val="006D73BA"/>
    <w:rsid w:val="006E1A73"/>
    <w:rsid w:val="007612FC"/>
    <w:rsid w:val="008122B2"/>
    <w:rsid w:val="00813CA4"/>
    <w:rsid w:val="00832147"/>
    <w:rsid w:val="00845843"/>
    <w:rsid w:val="0085162A"/>
    <w:rsid w:val="00892D58"/>
    <w:rsid w:val="0093469F"/>
    <w:rsid w:val="00956DBB"/>
    <w:rsid w:val="009C52DF"/>
    <w:rsid w:val="009C73A2"/>
    <w:rsid w:val="00A062EE"/>
    <w:rsid w:val="00A07255"/>
    <w:rsid w:val="00A210DB"/>
    <w:rsid w:val="00A764DA"/>
    <w:rsid w:val="00A852B0"/>
    <w:rsid w:val="00AA4483"/>
    <w:rsid w:val="00B24288"/>
    <w:rsid w:val="00BB5268"/>
    <w:rsid w:val="00BB5D4D"/>
    <w:rsid w:val="00BD46A5"/>
    <w:rsid w:val="00C20964"/>
    <w:rsid w:val="00C26D7E"/>
    <w:rsid w:val="00C359AD"/>
    <w:rsid w:val="00C81E27"/>
    <w:rsid w:val="00C94F08"/>
    <w:rsid w:val="00C96EA6"/>
    <w:rsid w:val="00CF3802"/>
    <w:rsid w:val="00D62654"/>
    <w:rsid w:val="00D86D0A"/>
    <w:rsid w:val="00DB51EB"/>
    <w:rsid w:val="00DF43EC"/>
    <w:rsid w:val="00E0666D"/>
    <w:rsid w:val="00F145D2"/>
    <w:rsid w:val="00F5001F"/>
    <w:rsid w:val="00F72CCE"/>
    <w:rsid w:val="00F81B26"/>
    <w:rsid w:val="00FB34B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FD24"/>
  <w15:chartTrackingRefBased/>
  <w15:docId w15:val="{2F135A65-CB56-48DB-9965-8000D6D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CCE"/>
    <w:rPr>
      <w:rFonts w:eastAsiaTheme="majorEastAsia" w:cstheme="majorBidi"/>
      <w:color w:val="272727" w:themeColor="text1" w:themeTint="D8"/>
    </w:rPr>
  </w:style>
  <w:style w:type="paragraph" w:styleId="Title">
    <w:name w:val="Title"/>
    <w:basedOn w:val="Normal"/>
    <w:next w:val="Normal"/>
    <w:link w:val="TitleChar"/>
    <w:uiPriority w:val="10"/>
    <w:qFormat/>
    <w:rsid w:val="00F7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CCE"/>
    <w:pPr>
      <w:spacing w:before="160"/>
      <w:jc w:val="center"/>
    </w:pPr>
    <w:rPr>
      <w:i/>
      <w:iCs/>
      <w:color w:val="404040" w:themeColor="text1" w:themeTint="BF"/>
    </w:rPr>
  </w:style>
  <w:style w:type="character" w:customStyle="1" w:styleId="QuoteChar">
    <w:name w:val="Quote Char"/>
    <w:basedOn w:val="DefaultParagraphFont"/>
    <w:link w:val="Quote"/>
    <w:uiPriority w:val="29"/>
    <w:rsid w:val="00F72CCE"/>
    <w:rPr>
      <w:i/>
      <w:iCs/>
      <w:color w:val="404040" w:themeColor="text1" w:themeTint="BF"/>
    </w:rPr>
  </w:style>
  <w:style w:type="paragraph" w:styleId="ListParagraph">
    <w:name w:val="List Paragraph"/>
    <w:basedOn w:val="Normal"/>
    <w:uiPriority w:val="34"/>
    <w:qFormat/>
    <w:rsid w:val="00F72CCE"/>
    <w:pPr>
      <w:ind w:left="720"/>
      <w:contextualSpacing/>
    </w:pPr>
  </w:style>
  <w:style w:type="character" w:styleId="IntenseEmphasis">
    <w:name w:val="Intense Emphasis"/>
    <w:basedOn w:val="DefaultParagraphFont"/>
    <w:uiPriority w:val="21"/>
    <w:qFormat/>
    <w:rsid w:val="00F72CCE"/>
    <w:rPr>
      <w:i/>
      <w:iCs/>
      <w:color w:val="0F4761" w:themeColor="accent1" w:themeShade="BF"/>
    </w:rPr>
  </w:style>
  <w:style w:type="paragraph" w:styleId="IntenseQuote">
    <w:name w:val="Intense Quote"/>
    <w:basedOn w:val="Normal"/>
    <w:next w:val="Normal"/>
    <w:link w:val="IntenseQuoteChar"/>
    <w:uiPriority w:val="30"/>
    <w:qFormat/>
    <w:rsid w:val="00F7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CCE"/>
    <w:rPr>
      <w:i/>
      <w:iCs/>
      <w:color w:val="0F4761" w:themeColor="accent1" w:themeShade="BF"/>
    </w:rPr>
  </w:style>
  <w:style w:type="character" w:styleId="IntenseReference">
    <w:name w:val="Intense Reference"/>
    <w:basedOn w:val="DefaultParagraphFont"/>
    <w:uiPriority w:val="32"/>
    <w:qFormat/>
    <w:rsid w:val="00F72CCE"/>
    <w:rPr>
      <w:b/>
      <w:bCs/>
      <w:smallCaps/>
      <w:color w:val="0F4761" w:themeColor="accent1" w:themeShade="BF"/>
      <w:spacing w:val="5"/>
    </w:rPr>
  </w:style>
  <w:style w:type="paragraph" w:styleId="Header">
    <w:name w:val="header"/>
    <w:basedOn w:val="Normal"/>
    <w:link w:val="HeaderChar"/>
    <w:uiPriority w:val="99"/>
    <w:unhideWhenUsed/>
    <w:rsid w:val="00F72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CCE"/>
  </w:style>
  <w:style w:type="paragraph" w:styleId="Footer">
    <w:name w:val="footer"/>
    <w:basedOn w:val="Normal"/>
    <w:link w:val="FooterChar"/>
    <w:uiPriority w:val="99"/>
    <w:unhideWhenUsed/>
    <w:rsid w:val="00F72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CCE"/>
  </w:style>
  <w:style w:type="character" w:styleId="Hyperlink">
    <w:name w:val="Hyperlink"/>
    <w:basedOn w:val="DefaultParagraphFont"/>
    <w:uiPriority w:val="99"/>
    <w:unhideWhenUsed/>
    <w:rsid w:val="00690243"/>
    <w:rPr>
      <w:color w:val="467886" w:themeColor="hyperlink"/>
      <w:u w:val="single"/>
    </w:rPr>
  </w:style>
  <w:style w:type="character" w:styleId="UnresolvedMention">
    <w:name w:val="Unresolved Mention"/>
    <w:basedOn w:val="DefaultParagraphFont"/>
    <w:uiPriority w:val="99"/>
    <w:semiHidden/>
    <w:unhideWhenUsed/>
    <w:rsid w:val="00690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63143">
      <w:bodyDiv w:val="1"/>
      <w:marLeft w:val="0"/>
      <w:marRight w:val="0"/>
      <w:marTop w:val="0"/>
      <w:marBottom w:val="0"/>
      <w:divBdr>
        <w:top w:val="none" w:sz="0" w:space="0" w:color="auto"/>
        <w:left w:val="none" w:sz="0" w:space="0" w:color="auto"/>
        <w:bottom w:val="none" w:sz="0" w:space="0" w:color="auto"/>
        <w:right w:val="none" w:sz="0" w:space="0" w:color="auto"/>
      </w:divBdr>
    </w:div>
    <w:div w:id="690497771">
      <w:bodyDiv w:val="1"/>
      <w:marLeft w:val="0"/>
      <w:marRight w:val="0"/>
      <w:marTop w:val="0"/>
      <w:marBottom w:val="0"/>
      <w:divBdr>
        <w:top w:val="none" w:sz="0" w:space="0" w:color="auto"/>
        <w:left w:val="none" w:sz="0" w:space="0" w:color="auto"/>
        <w:bottom w:val="none" w:sz="0" w:space="0" w:color="auto"/>
        <w:right w:val="none" w:sz="0" w:space="0" w:color="auto"/>
      </w:divBdr>
    </w:div>
    <w:div w:id="787967140">
      <w:bodyDiv w:val="1"/>
      <w:marLeft w:val="0"/>
      <w:marRight w:val="0"/>
      <w:marTop w:val="0"/>
      <w:marBottom w:val="0"/>
      <w:divBdr>
        <w:top w:val="none" w:sz="0" w:space="0" w:color="auto"/>
        <w:left w:val="none" w:sz="0" w:space="0" w:color="auto"/>
        <w:bottom w:val="none" w:sz="0" w:space="0" w:color="auto"/>
        <w:right w:val="none" w:sz="0" w:space="0" w:color="auto"/>
      </w:divBdr>
    </w:div>
    <w:div w:id="1229219926">
      <w:bodyDiv w:val="1"/>
      <w:marLeft w:val="0"/>
      <w:marRight w:val="0"/>
      <w:marTop w:val="0"/>
      <w:marBottom w:val="0"/>
      <w:divBdr>
        <w:top w:val="none" w:sz="0" w:space="0" w:color="auto"/>
        <w:left w:val="none" w:sz="0" w:space="0" w:color="auto"/>
        <w:bottom w:val="none" w:sz="0" w:space="0" w:color="auto"/>
        <w:right w:val="none" w:sz="0" w:space="0" w:color="auto"/>
      </w:divBdr>
    </w:div>
    <w:div w:id="1315180113">
      <w:bodyDiv w:val="1"/>
      <w:marLeft w:val="0"/>
      <w:marRight w:val="0"/>
      <w:marTop w:val="0"/>
      <w:marBottom w:val="0"/>
      <w:divBdr>
        <w:top w:val="none" w:sz="0" w:space="0" w:color="auto"/>
        <w:left w:val="none" w:sz="0" w:space="0" w:color="auto"/>
        <w:bottom w:val="none" w:sz="0" w:space="0" w:color="auto"/>
        <w:right w:val="none" w:sz="0" w:space="0" w:color="auto"/>
      </w:divBdr>
    </w:div>
    <w:div w:id="1319724263">
      <w:bodyDiv w:val="1"/>
      <w:marLeft w:val="0"/>
      <w:marRight w:val="0"/>
      <w:marTop w:val="0"/>
      <w:marBottom w:val="0"/>
      <w:divBdr>
        <w:top w:val="none" w:sz="0" w:space="0" w:color="auto"/>
        <w:left w:val="none" w:sz="0" w:space="0" w:color="auto"/>
        <w:bottom w:val="none" w:sz="0" w:space="0" w:color="auto"/>
        <w:right w:val="none" w:sz="0" w:space="0" w:color="auto"/>
      </w:divBdr>
    </w:div>
    <w:div w:id="1376084565">
      <w:bodyDiv w:val="1"/>
      <w:marLeft w:val="0"/>
      <w:marRight w:val="0"/>
      <w:marTop w:val="0"/>
      <w:marBottom w:val="0"/>
      <w:divBdr>
        <w:top w:val="none" w:sz="0" w:space="0" w:color="auto"/>
        <w:left w:val="none" w:sz="0" w:space="0" w:color="auto"/>
        <w:bottom w:val="none" w:sz="0" w:space="0" w:color="auto"/>
        <w:right w:val="none" w:sz="0" w:space="0" w:color="auto"/>
      </w:divBdr>
    </w:div>
    <w:div w:id="1392117960">
      <w:bodyDiv w:val="1"/>
      <w:marLeft w:val="0"/>
      <w:marRight w:val="0"/>
      <w:marTop w:val="0"/>
      <w:marBottom w:val="0"/>
      <w:divBdr>
        <w:top w:val="none" w:sz="0" w:space="0" w:color="auto"/>
        <w:left w:val="none" w:sz="0" w:space="0" w:color="auto"/>
        <w:bottom w:val="none" w:sz="0" w:space="0" w:color="auto"/>
        <w:right w:val="none" w:sz="0" w:space="0" w:color="auto"/>
      </w:divBdr>
    </w:div>
    <w:div w:id="1572159798">
      <w:bodyDiv w:val="1"/>
      <w:marLeft w:val="0"/>
      <w:marRight w:val="0"/>
      <w:marTop w:val="0"/>
      <w:marBottom w:val="0"/>
      <w:divBdr>
        <w:top w:val="none" w:sz="0" w:space="0" w:color="auto"/>
        <w:left w:val="none" w:sz="0" w:space="0" w:color="auto"/>
        <w:bottom w:val="none" w:sz="0" w:space="0" w:color="auto"/>
        <w:right w:val="none" w:sz="0" w:space="0" w:color="auto"/>
      </w:divBdr>
    </w:div>
    <w:div w:id="190494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42CA1A3EF3CA49A7267E001CC5DA2B" ma:contentTypeVersion="4" ma:contentTypeDescription="Create a new document." ma:contentTypeScope="" ma:versionID="9d4506a198993af26abf17c23da026ad">
  <xsd:schema xmlns:xsd="http://www.w3.org/2001/XMLSchema" xmlns:xs="http://www.w3.org/2001/XMLSchema" xmlns:p="http://schemas.microsoft.com/office/2006/metadata/properties" xmlns:ns2="5f2fb132-bb82-4cf7-820b-340297f9a1c2" targetNamespace="http://schemas.microsoft.com/office/2006/metadata/properties" ma:root="true" ma:fieldsID="cf054e7e08442dae09f460d8d1124d57" ns2:_="">
    <xsd:import namespace="5f2fb132-bb82-4cf7-820b-340297f9a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b132-bb82-4cf7-820b-340297f9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6B1842-ED98-49F2-8FA8-9C19AB8E9BFF}"/>
</file>

<file path=customXml/itemProps2.xml><?xml version="1.0" encoding="utf-8"?>
<ds:datastoreItem xmlns:ds="http://schemas.openxmlformats.org/officeDocument/2006/customXml" ds:itemID="{AFDE89F8-9946-415D-8332-300C6D35A7C8}"/>
</file>

<file path=customXml/itemProps3.xml><?xml version="1.0" encoding="utf-8"?>
<ds:datastoreItem xmlns:ds="http://schemas.openxmlformats.org/officeDocument/2006/customXml" ds:itemID="{FFA8E14E-F226-4B60-9986-2860EE63291E}"/>
</file>

<file path=docMetadata/LabelInfo.xml><?xml version="1.0" encoding="utf-8"?>
<clbl:labelList xmlns:clbl="http://schemas.microsoft.com/office/2020/mipLabelMetadata">
  <clbl:label id="{70c52299-74de-4dfd-b117-c9c408edfa50}" enabled="1" method="Standard" siteId="{853cbaab-a620-4178-8933-88d76414184a}"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Resbank</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Elize Myburgh</dc:creator>
  <cp:keywords/>
  <dc:description/>
  <cp:lastModifiedBy>Elize Myburgh</cp:lastModifiedBy>
  <cp:revision>8</cp:revision>
  <dcterms:created xsi:type="dcterms:W3CDTF">2025-02-05T12:17:00Z</dcterms:created>
  <dcterms:modified xsi:type="dcterms:W3CDTF">2025-02-06T08:42:00Z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0x0101002C42CA1A3EF3CA49A7267E001CC5DA2B</vt:lpwstr>
  </property>
</Properties>
</file>